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9CF5F" w14:textId="4CE08CEA" w:rsidR="00B83831" w:rsidRPr="00B83831" w:rsidRDefault="00B83831" w:rsidP="000F718E">
      <w:pPr>
        <w:pStyle w:val="Heading1"/>
        <w:rPr>
          <w:iCs/>
        </w:rPr>
      </w:pPr>
      <w:bookmarkStart w:id="0" w:name="_GoBack"/>
      <w:r w:rsidRPr="00B83831">
        <w:t xml:space="preserve">Working Holiday Maker Program </w:t>
      </w:r>
      <w:r w:rsidR="000F718E" w:rsidRPr="000F718E">
        <w:t xml:space="preserve">Inquiry </w:t>
      </w:r>
      <w:r w:rsidRPr="00B83831">
        <w:t>(Joint Standing Committee on Migration)</w:t>
      </w:r>
    </w:p>
    <w:bookmarkEnd w:id="0"/>
    <w:p w14:paraId="4CA6F3CB" w14:textId="77777777" w:rsidR="00B83831" w:rsidRDefault="00B83831" w:rsidP="004177A5">
      <w:pPr>
        <w:spacing w:after="160" w:line="21" w:lineRule="atLeast"/>
        <w:rPr>
          <w:sz w:val="22"/>
          <w:szCs w:val="22"/>
        </w:rPr>
      </w:pPr>
    </w:p>
    <w:p w14:paraId="3A957090" w14:textId="273647D4" w:rsidR="00112662" w:rsidRDefault="004177A5" w:rsidP="004177A5">
      <w:pPr>
        <w:spacing w:after="160" w:line="21" w:lineRule="atLeast"/>
        <w:rPr>
          <w:sz w:val="22"/>
          <w:szCs w:val="22"/>
        </w:rPr>
      </w:pPr>
      <w:r>
        <w:rPr>
          <w:sz w:val="22"/>
          <w:szCs w:val="22"/>
        </w:rPr>
        <w:t xml:space="preserve">In June 2020, </w:t>
      </w:r>
      <w:r w:rsidR="00692663" w:rsidRPr="00692663">
        <w:rPr>
          <w:sz w:val="22"/>
          <w:szCs w:val="22"/>
        </w:rPr>
        <w:t xml:space="preserve">the Acting Minister for Immigration, Citizenship, Migrant Services and Multicultural Affairs </w:t>
      </w:r>
      <w:r w:rsidR="00692663">
        <w:rPr>
          <w:sz w:val="22"/>
          <w:szCs w:val="22"/>
        </w:rPr>
        <w:t xml:space="preserve">asked </w:t>
      </w:r>
      <w:r w:rsidRPr="004177A5">
        <w:rPr>
          <w:sz w:val="22"/>
          <w:szCs w:val="22"/>
        </w:rPr>
        <w:t>the Joint Standing Committee on Migration to inquire into and report on the Working Holiday Maker program</w:t>
      </w:r>
      <w:r w:rsidR="00112662">
        <w:rPr>
          <w:sz w:val="22"/>
          <w:szCs w:val="22"/>
        </w:rPr>
        <w:t xml:space="preserve"> (WHMP)</w:t>
      </w:r>
      <w:r w:rsidRPr="004177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129CC" w:rsidRPr="007A71DF">
        <w:rPr>
          <w:sz w:val="22"/>
          <w:szCs w:val="22"/>
        </w:rPr>
        <w:t>The Salvation Army</w:t>
      </w:r>
      <w:r w:rsidR="00B83831">
        <w:rPr>
          <w:sz w:val="22"/>
          <w:szCs w:val="22"/>
        </w:rPr>
        <w:t xml:space="preserve"> made a submission to this inquiry </w:t>
      </w:r>
      <w:r w:rsidR="00E50A95">
        <w:rPr>
          <w:sz w:val="22"/>
          <w:szCs w:val="22"/>
        </w:rPr>
        <w:t xml:space="preserve">in partnership with the Uniting Church of Australia, Synod of Victoria and Tasmania. </w:t>
      </w:r>
    </w:p>
    <w:p w14:paraId="6A7CC8DF" w14:textId="5A5B9AEA" w:rsidR="00F840F8" w:rsidRPr="007A71DF" w:rsidRDefault="00DD0C34" w:rsidP="004177A5">
      <w:pPr>
        <w:spacing w:after="160" w:line="21" w:lineRule="atLeast"/>
        <w:rPr>
          <w:sz w:val="22"/>
          <w:szCs w:val="22"/>
        </w:rPr>
      </w:pPr>
      <w:hyperlink r:id="rId5" w:history="1">
        <w:r w:rsidR="00112662" w:rsidRPr="00DD0C34">
          <w:rPr>
            <w:rStyle w:val="Hyperlink"/>
            <w:sz w:val="22"/>
            <w:szCs w:val="22"/>
          </w:rPr>
          <w:t>Our</w:t>
        </w:r>
        <w:r w:rsidRPr="00DD0C34">
          <w:rPr>
            <w:rStyle w:val="Hyperlink"/>
            <w:sz w:val="22"/>
            <w:szCs w:val="22"/>
          </w:rPr>
          <w:t xml:space="preserve"> joint</w:t>
        </w:r>
        <w:r w:rsidR="00112662" w:rsidRPr="00DD0C34">
          <w:rPr>
            <w:rStyle w:val="Hyperlink"/>
            <w:sz w:val="22"/>
            <w:szCs w:val="22"/>
          </w:rPr>
          <w:t xml:space="preserve"> submission</w:t>
        </w:r>
      </w:hyperlink>
      <w:r w:rsidR="00112662">
        <w:rPr>
          <w:sz w:val="22"/>
          <w:szCs w:val="22"/>
        </w:rPr>
        <w:t xml:space="preserve"> considered </w:t>
      </w:r>
      <w:r w:rsidR="007A71DF" w:rsidRPr="007A71DF">
        <w:rPr>
          <w:sz w:val="22"/>
          <w:szCs w:val="22"/>
        </w:rPr>
        <w:t xml:space="preserve">the </w:t>
      </w:r>
      <w:r w:rsidR="00112662">
        <w:rPr>
          <w:sz w:val="22"/>
          <w:szCs w:val="22"/>
        </w:rPr>
        <w:t xml:space="preserve">official </w:t>
      </w:r>
      <w:r w:rsidR="007A71DF" w:rsidRPr="007A71DF">
        <w:rPr>
          <w:sz w:val="22"/>
          <w:szCs w:val="22"/>
        </w:rPr>
        <w:t xml:space="preserve">purpose of the </w:t>
      </w:r>
      <w:r w:rsidR="00112662">
        <w:rPr>
          <w:sz w:val="22"/>
          <w:szCs w:val="22"/>
        </w:rPr>
        <w:t>WHMP, whether this purpose is reflected in</w:t>
      </w:r>
      <w:r w:rsidR="0081121F">
        <w:rPr>
          <w:sz w:val="22"/>
          <w:szCs w:val="22"/>
        </w:rPr>
        <w:t xml:space="preserve"> current visa criteria and conditions</w:t>
      </w:r>
      <w:r w:rsidR="00112662">
        <w:rPr>
          <w:sz w:val="22"/>
          <w:szCs w:val="22"/>
        </w:rPr>
        <w:t>,</w:t>
      </w:r>
      <w:r w:rsidR="0081121F">
        <w:rPr>
          <w:sz w:val="22"/>
          <w:szCs w:val="22"/>
        </w:rPr>
        <w:t xml:space="preserve"> </w:t>
      </w:r>
      <w:r w:rsidR="00DF44FB">
        <w:rPr>
          <w:sz w:val="22"/>
          <w:szCs w:val="22"/>
        </w:rPr>
        <w:t xml:space="preserve">and how to ensure the </w:t>
      </w:r>
      <w:r w:rsidR="00DF44FB" w:rsidRPr="00DF44FB">
        <w:rPr>
          <w:sz w:val="22"/>
          <w:szCs w:val="22"/>
        </w:rPr>
        <w:t>WHMP ‘complements’ rather than ‘competes’ with Australian workers’ interests</w:t>
      </w:r>
      <w:r w:rsidR="007A71DF" w:rsidRPr="007A71DF">
        <w:rPr>
          <w:sz w:val="22"/>
          <w:szCs w:val="22"/>
        </w:rPr>
        <w:t>.</w:t>
      </w:r>
      <w:r w:rsidR="00DF44FB">
        <w:rPr>
          <w:sz w:val="22"/>
          <w:szCs w:val="22"/>
        </w:rPr>
        <w:t xml:space="preserve"> </w:t>
      </w:r>
      <w:r w:rsidR="007A71DF" w:rsidRPr="007A71DF">
        <w:rPr>
          <w:sz w:val="22"/>
          <w:szCs w:val="22"/>
        </w:rPr>
        <w:t xml:space="preserve"> </w:t>
      </w:r>
    </w:p>
    <w:p w14:paraId="5032FD09" w14:textId="732B0A9B" w:rsidR="002129CC" w:rsidRPr="007A71DF" w:rsidRDefault="00670BA9" w:rsidP="004177A5">
      <w:pPr>
        <w:spacing w:after="160" w:line="21" w:lineRule="atLeast"/>
        <w:rPr>
          <w:sz w:val="22"/>
          <w:szCs w:val="22"/>
        </w:rPr>
      </w:pPr>
      <w:r>
        <w:rPr>
          <w:sz w:val="22"/>
          <w:szCs w:val="22"/>
        </w:rPr>
        <w:t>The key points of our</w:t>
      </w:r>
      <w:r w:rsidR="002129CC" w:rsidRPr="007A71DF">
        <w:rPr>
          <w:sz w:val="22"/>
          <w:szCs w:val="22"/>
        </w:rPr>
        <w:t xml:space="preserve"> submission are:</w:t>
      </w:r>
      <w:r w:rsidR="00112662">
        <w:rPr>
          <w:sz w:val="22"/>
          <w:szCs w:val="22"/>
        </w:rPr>
        <w:t xml:space="preserve"> </w:t>
      </w:r>
    </w:p>
    <w:p w14:paraId="4F221CEF" w14:textId="7C7F6A02" w:rsidR="007A71DF" w:rsidRPr="007A71DF" w:rsidRDefault="007A71DF" w:rsidP="004177A5">
      <w:pPr>
        <w:pStyle w:val="NoSpacing"/>
        <w:numPr>
          <w:ilvl w:val="0"/>
          <w:numId w:val="5"/>
        </w:numPr>
        <w:spacing w:line="21" w:lineRule="atLeast"/>
        <w:ind w:left="567"/>
        <w:rPr>
          <w:sz w:val="22"/>
          <w:szCs w:val="22"/>
        </w:rPr>
      </w:pPr>
      <w:r w:rsidRPr="007A71DF">
        <w:rPr>
          <w:sz w:val="22"/>
          <w:szCs w:val="22"/>
        </w:rPr>
        <w:t>The WHMP is not just a cultural exchange program</w:t>
      </w:r>
      <w:r w:rsidR="00112662">
        <w:rPr>
          <w:sz w:val="22"/>
          <w:szCs w:val="22"/>
        </w:rPr>
        <w:t>.</w:t>
      </w:r>
      <w:r w:rsidR="00112662" w:rsidRPr="007A71DF">
        <w:rPr>
          <w:sz w:val="22"/>
          <w:szCs w:val="22"/>
        </w:rPr>
        <w:t xml:space="preserve"> </w:t>
      </w:r>
      <w:r w:rsidR="00112662">
        <w:rPr>
          <w:sz w:val="22"/>
          <w:szCs w:val="22"/>
        </w:rPr>
        <w:t>Regional work incentives have increasingly made i</w:t>
      </w:r>
      <w:r w:rsidR="00112662" w:rsidRPr="007A71DF">
        <w:rPr>
          <w:sz w:val="22"/>
          <w:szCs w:val="22"/>
        </w:rPr>
        <w:t xml:space="preserve">t </w:t>
      </w:r>
      <w:r w:rsidRPr="007A71DF">
        <w:rPr>
          <w:sz w:val="22"/>
          <w:szCs w:val="22"/>
        </w:rPr>
        <w:t xml:space="preserve">a labour program </w:t>
      </w:r>
      <w:r w:rsidR="00112662">
        <w:rPr>
          <w:sz w:val="22"/>
          <w:szCs w:val="22"/>
        </w:rPr>
        <w:t xml:space="preserve">that </w:t>
      </w:r>
      <w:r w:rsidRPr="007A71DF">
        <w:rPr>
          <w:sz w:val="22"/>
          <w:szCs w:val="22"/>
        </w:rPr>
        <w:t>key industries and regional communities</w:t>
      </w:r>
      <w:r w:rsidR="00112662">
        <w:rPr>
          <w:sz w:val="22"/>
          <w:szCs w:val="22"/>
        </w:rPr>
        <w:t xml:space="preserve"> rely on</w:t>
      </w:r>
      <w:r w:rsidRPr="007A71DF">
        <w:rPr>
          <w:sz w:val="22"/>
          <w:szCs w:val="22"/>
        </w:rPr>
        <w:t xml:space="preserve">. </w:t>
      </w:r>
    </w:p>
    <w:p w14:paraId="6ABCCE6B" w14:textId="1F4DB040" w:rsidR="007A71DF" w:rsidRDefault="00DD0C34" w:rsidP="004177A5">
      <w:pPr>
        <w:pStyle w:val="NoSpacing"/>
        <w:numPr>
          <w:ilvl w:val="0"/>
          <w:numId w:val="5"/>
        </w:numPr>
        <w:spacing w:line="21" w:lineRule="atLeast"/>
        <w:ind w:left="567"/>
        <w:rPr>
          <w:sz w:val="22"/>
          <w:szCs w:val="22"/>
        </w:rPr>
      </w:pPr>
      <w:r>
        <w:rPr>
          <w:sz w:val="22"/>
          <w:szCs w:val="22"/>
        </w:rPr>
        <w:t>W</w:t>
      </w:r>
      <w:r w:rsidR="00D84549">
        <w:rPr>
          <w:sz w:val="22"/>
          <w:szCs w:val="22"/>
        </w:rPr>
        <w:t xml:space="preserve">ell-documented issues of exploitation and mistreatment of </w:t>
      </w:r>
      <w:r w:rsidR="00112662">
        <w:rPr>
          <w:sz w:val="22"/>
          <w:szCs w:val="22"/>
        </w:rPr>
        <w:t>working holiday makers (</w:t>
      </w:r>
      <w:r w:rsidR="00D84549">
        <w:rPr>
          <w:sz w:val="22"/>
          <w:szCs w:val="22"/>
        </w:rPr>
        <w:t>WHMS</w:t>
      </w:r>
      <w:r w:rsidR="00112662">
        <w:rPr>
          <w:sz w:val="22"/>
          <w:szCs w:val="22"/>
        </w:rPr>
        <w:t>)</w:t>
      </w:r>
      <w:r w:rsidR="00D84549">
        <w:rPr>
          <w:sz w:val="22"/>
          <w:szCs w:val="22"/>
        </w:rPr>
        <w:t xml:space="preserve"> remain unaddressed</w:t>
      </w:r>
      <w:r>
        <w:rPr>
          <w:sz w:val="22"/>
          <w:szCs w:val="22"/>
        </w:rPr>
        <w:t xml:space="preserve">. This is </w:t>
      </w:r>
      <w:r w:rsidR="00D84549">
        <w:rPr>
          <w:sz w:val="22"/>
          <w:szCs w:val="22"/>
        </w:rPr>
        <w:t xml:space="preserve">likely </w:t>
      </w:r>
      <w:r>
        <w:rPr>
          <w:sz w:val="22"/>
          <w:szCs w:val="22"/>
        </w:rPr>
        <w:t xml:space="preserve">to have </w:t>
      </w:r>
      <w:r w:rsidR="00D84549">
        <w:rPr>
          <w:sz w:val="22"/>
          <w:szCs w:val="22"/>
        </w:rPr>
        <w:t>contribut</w:t>
      </w:r>
      <w:r>
        <w:rPr>
          <w:sz w:val="22"/>
          <w:szCs w:val="22"/>
        </w:rPr>
        <w:t>ed</w:t>
      </w:r>
      <w:r w:rsidR="00D84549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program’s </w:t>
      </w:r>
      <w:r w:rsidR="00D84549">
        <w:rPr>
          <w:sz w:val="22"/>
          <w:szCs w:val="22"/>
        </w:rPr>
        <w:t>contraction in recent years</w:t>
      </w:r>
      <w:r>
        <w:rPr>
          <w:sz w:val="22"/>
          <w:szCs w:val="22"/>
        </w:rPr>
        <w:t>.</w:t>
      </w:r>
    </w:p>
    <w:p w14:paraId="6847D7A7" w14:textId="000764ED" w:rsidR="00D84549" w:rsidRDefault="00DD0C34" w:rsidP="004177A5">
      <w:pPr>
        <w:pStyle w:val="NoSpacing"/>
        <w:numPr>
          <w:ilvl w:val="0"/>
          <w:numId w:val="5"/>
        </w:numPr>
        <w:spacing w:line="21" w:lineRule="atLeast"/>
        <w:ind w:left="567"/>
        <w:rPr>
          <w:sz w:val="22"/>
          <w:szCs w:val="22"/>
        </w:rPr>
      </w:pPr>
      <w:r>
        <w:rPr>
          <w:sz w:val="22"/>
          <w:szCs w:val="22"/>
        </w:rPr>
        <w:t>U</w:t>
      </w:r>
      <w:r w:rsidR="00D84549" w:rsidRPr="00D84549">
        <w:rPr>
          <w:sz w:val="22"/>
          <w:szCs w:val="22"/>
        </w:rPr>
        <w:t xml:space="preserve">nscrupulous employers and operators can </w:t>
      </w:r>
      <w:r>
        <w:rPr>
          <w:sz w:val="22"/>
          <w:szCs w:val="22"/>
        </w:rPr>
        <w:t xml:space="preserve">easily </w:t>
      </w:r>
      <w:r w:rsidR="00D84549" w:rsidRPr="00D84549">
        <w:rPr>
          <w:sz w:val="22"/>
          <w:szCs w:val="22"/>
        </w:rPr>
        <w:t>evade detection and continue to exploit WHMs and other low-skill workers</w:t>
      </w:r>
      <w:r>
        <w:rPr>
          <w:sz w:val="22"/>
          <w:szCs w:val="22"/>
        </w:rPr>
        <w:t>. This</w:t>
      </w:r>
      <w:r w:rsidR="00D84549" w:rsidRPr="00D84549">
        <w:rPr>
          <w:sz w:val="22"/>
          <w:szCs w:val="22"/>
        </w:rPr>
        <w:t xml:space="preserve"> deter</w:t>
      </w:r>
      <w:r>
        <w:rPr>
          <w:sz w:val="22"/>
          <w:szCs w:val="22"/>
        </w:rPr>
        <w:t>s</w:t>
      </w:r>
      <w:r w:rsidR="00D84549" w:rsidRPr="00D84549">
        <w:rPr>
          <w:sz w:val="22"/>
          <w:szCs w:val="22"/>
        </w:rPr>
        <w:t xml:space="preserve"> prospective employees—both migrant and Australian—from taking up work in industries like hospitality and horticulture. It also acts as a disincentive for those employers/operators benefiting from the system to hire workers who </w:t>
      </w:r>
      <w:r w:rsidR="00D84549">
        <w:rPr>
          <w:sz w:val="22"/>
          <w:szCs w:val="22"/>
        </w:rPr>
        <w:t>are more likely to stand up for themselves</w:t>
      </w:r>
      <w:r w:rsidR="00D84549" w:rsidRPr="00D84549">
        <w:rPr>
          <w:sz w:val="22"/>
          <w:szCs w:val="22"/>
        </w:rPr>
        <w:t>.</w:t>
      </w:r>
    </w:p>
    <w:p w14:paraId="6EE5C69D" w14:textId="50820D57" w:rsidR="0081121F" w:rsidRDefault="00DD0C34" w:rsidP="004177A5">
      <w:pPr>
        <w:spacing w:before="100" w:beforeAutospacing="1" w:afterLines="160" w:after="384" w:line="21" w:lineRule="atLeast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In o</w:t>
      </w:r>
      <w:r w:rsidR="002C6562">
        <w:rPr>
          <w:rFonts w:eastAsia="Times New Roman" w:cstheme="minorHAnsi"/>
          <w:color w:val="000000"/>
          <w:sz w:val="22"/>
          <w:szCs w:val="22"/>
          <w:lang w:eastAsia="en-GB"/>
        </w:rPr>
        <w:t>ur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submission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, we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also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identify 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the need for a national labour hire registration scheme to build oversight, transparency and accountability on the program. WHMs are only here for a short time. It is unrealistic to </w:t>
      </w:r>
      <w:r w:rsidR="00B838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require them 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>to report and participate in complex, lengthy legal battles over wage entitlements. The</w:t>
      </w:r>
      <w:r w:rsidR="00670B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joint submission encourages the g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overnment </w:t>
      </w:r>
      <w:r w:rsidR="00670BA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to 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 xml:space="preserve">assume greater responsibility for what has become a de facto labour program to ensure employers are not able to exploit WHMS, exclude Australian workers from potential job markets, 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or </w:t>
      </w:r>
      <w:r w:rsidR="0081121F">
        <w:rPr>
          <w:rFonts w:eastAsia="Times New Roman" w:cstheme="minorHAnsi"/>
          <w:color w:val="000000"/>
          <w:sz w:val="22"/>
          <w:szCs w:val="22"/>
          <w:lang w:eastAsia="en-GB"/>
        </w:rPr>
        <w:t>under-cut competitors doing the right thing.</w:t>
      </w:r>
    </w:p>
    <w:p w14:paraId="3A2A4FED" w14:textId="0D37E1F4" w:rsidR="00B83831" w:rsidRDefault="00A3359A" w:rsidP="00670BA9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 Committee</w:t>
      </w:r>
      <w:r w:rsidR="00255179">
        <w:rPr>
          <w:rFonts w:eastAsia="Times New Roman"/>
          <w:lang w:eastAsia="en-GB"/>
        </w:rPr>
        <w:t xml:space="preserve"> report</w:t>
      </w:r>
    </w:p>
    <w:p w14:paraId="64387527" w14:textId="57537E0E" w:rsidR="006C1339" w:rsidRDefault="006C1339" w:rsidP="00DD0C34">
      <w:pPr>
        <w:pStyle w:val="NoSpacing"/>
        <w:spacing w:before="100" w:beforeAutospacing="1" w:afterLines="160" w:after="384" w:line="21" w:lineRule="atLeast"/>
        <w:rPr>
          <w:rFonts w:eastAsia="Times New Roman" w:cstheme="minorHAnsi"/>
          <w:color w:val="000000"/>
          <w:sz w:val="22"/>
          <w:szCs w:val="22"/>
          <w:lang w:eastAsia="en-GB"/>
        </w:rPr>
      </w:pPr>
      <w:r>
        <w:rPr>
          <w:rFonts w:eastAsia="Times New Roman" w:cstheme="minorHAnsi"/>
          <w:color w:val="000000"/>
          <w:sz w:val="22"/>
          <w:szCs w:val="22"/>
          <w:lang w:eastAsia="en-GB"/>
        </w:rPr>
        <w:t>An interim report was released in September 2020. It provided 10 recommendations, focused on immediate changes needed in response to the COVID-19 pandemic.</w:t>
      </w:r>
    </w:p>
    <w:p w14:paraId="04491895" w14:textId="1F1F4346" w:rsidR="00B83831" w:rsidRPr="0081121F" w:rsidRDefault="00DD0C34" w:rsidP="00DD0C34">
      <w:pPr>
        <w:pStyle w:val="NoSpacing"/>
        <w:spacing w:before="100" w:beforeAutospacing="1" w:afterLines="160" w:after="384" w:line="21" w:lineRule="atLeast"/>
        <w:rPr>
          <w:rFonts w:eastAsia="Times New Roman" w:cstheme="minorHAnsi"/>
          <w:color w:val="000000"/>
          <w:sz w:val="22"/>
          <w:szCs w:val="22"/>
          <w:lang w:eastAsia="en-GB"/>
        </w:rPr>
      </w:pPr>
      <w:hyperlink r:id="rId6" w:history="1">
        <w:r w:rsidR="00B83831" w:rsidRPr="00DD0C34">
          <w:rPr>
            <w:rStyle w:val="Hyperlink"/>
            <w:rFonts w:eastAsia="Times New Roman" w:cstheme="minorHAnsi"/>
            <w:sz w:val="22"/>
            <w:szCs w:val="22"/>
            <w:lang w:eastAsia="en-GB"/>
          </w:rPr>
          <w:t xml:space="preserve">The Committee’s </w:t>
        </w:r>
        <w:r w:rsidRPr="00DD0C34">
          <w:rPr>
            <w:rStyle w:val="Hyperlink"/>
            <w:rFonts w:eastAsia="Times New Roman" w:cstheme="minorHAnsi"/>
            <w:sz w:val="22"/>
            <w:szCs w:val="22"/>
            <w:lang w:eastAsia="en-GB"/>
          </w:rPr>
          <w:t xml:space="preserve">final </w:t>
        </w:r>
        <w:r w:rsidR="00B83831" w:rsidRPr="00DD0C34">
          <w:rPr>
            <w:rStyle w:val="Hyperlink"/>
            <w:rFonts w:eastAsia="Times New Roman" w:cstheme="minorHAnsi"/>
            <w:sz w:val="22"/>
            <w:szCs w:val="22"/>
            <w:lang w:eastAsia="en-GB"/>
          </w:rPr>
          <w:t>report</w:t>
        </w:r>
      </w:hyperlink>
      <w:r w:rsidR="00B83831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into the inquiry was released in November 2020 and </w:t>
      </w:r>
      <w:r w:rsidR="00BA4BBE">
        <w:rPr>
          <w:rFonts w:eastAsia="Times New Roman" w:cstheme="minorHAnsi"/>
          <w:color w:val="000000"/>
          <w:sz w:val="22"/>
          <w:szCs w:val="22"/>
          <w:lang w:eastAsia="en-GB"/>
        </w:rPr>
        <w:t>provided 14 recommendations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The final 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>report focuse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>d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on longer</w:t>
      </w:r>
      <w:r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>term changes</w:t>
      </w:r>
      <w:r w:rsidR="006C1339">
        <w:rPr>
          <w:rFonts w:eastAsia="Times New Roman" w:cstheme="minorHAnsi"/>
          <w:color w:val="000000"/>
          <w:sz w:val="22"/>
          <w:szCs w:val="22"/>
          <w:lang w:eastAsia="en-GB"/>
        </w:rPr>
        <w:t>,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such as the need to</w:t>
      </w:r>
      <w:r w:rsidR="006C13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>implement the Report of the Migrant Worker Taskforce and to incentivise a</w:t>
      </w:r>
      <w:r w:rsidR="006C1339">
        <w:rPr>
          <w:rFonts w:eastAsia="Times New Roman" w:cstheme="minorHAnsi"/>
          <w:color w:val="000000"/>
          <w:sz w:val="22"/>
          <w:szCs w:val="22"/>
          <w:lang w:eastAsia="en-GB"/>
        </w:rPr>
        <w:t xml:space="preserve"> </w:t>
      </w:r>
      <w:r w:rsidRPr="00DD0C34">
        <w:rPr>
          <w:rFonts w:eastAsia="Times New Roman" w:cstheme="minorHAnsi"/>
          <w:color w:val="000000"/>
          <w:sz w:val="22"/>
          <w:szCs w:val="22"/>
          <w:lang w:eastAsia="en-GB"/>
        </w:rPr>
        <w:t>broader range of visa holders to undertake agricultural and horticultural work</w:t>
      </w:r>
      <w:r w:rsidR="006C1339">
        <w:rPr>
          <w:rFonts w:eastAsia="Times New Roman" w:cstheme="minorHAnsi"/>
          <w:color w:val="000000"/>
          <w:sz w:val="22"/>
          <w:szCs w:val="22"/>
          <w:lang w:eastAsia="en-GB"/>
        </w:rPr>
        <w:t>.</w:t>
      </w:r>
    </w:p>
    <w:sectPr w:rsidR="00B83831" w:rsidRPr="0081121F" w:rsidSect="0081121F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0553"/>
    <w:multiLevelType w:val="hybridMultilevel"/>
    <w:tmpl w:val="EBAA6AF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945AA"/>
    <w:multiLevelType w:val="multilevel"/>
    <w:tmpl w:val="B8E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26446"/>
    <w:multiLevelType w:val="hybridMultilevel"/>
    <w:tmpl w:val="33C44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2B07"/>
    <w:multiLevelType w:val="hybridMultilevel"/>
    <w:tmpl w:val="D7EE4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36D7F"/>
    <w:multiLevelType w:val="hybridMultilevel"/>
    <w:tmpl w:val="F724B1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C42F67"/>
    <w:multiLevelType w:val="hybridMultilevel"/>
    <w:tmpl w:val="800C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60"/>
    <w:rsid w:val="000F718E"/>
    <w:rsid w:val="00112662"/>
    <w:rsid w:val="001210B8"/>
    <w:rsid w:val="00153777"/>
    <w:rsid w:val="00174659"/>
    <w:rsid w:val="001956E0"/>
    <w:rsid w:val="001C47B6"/>
    <w:rsid w:val="001F5B2B"/>
    <w:rsid w:val="00200F7B"/>
    <w:rsid w:val="002129CC"/>
    <w:rsid w:val="00255179"/>
    <w:rsid w:val="00284587"/>
    <w:rsid w:val="002C6562"/>
    <w:rsid w:val="002D03FF"/>
    <w:rsid w:val="002D7437"/>
    <w:rsid w:val="002E089A"/>
    <w:rsid w:val="003626B5"/>
    <w:rsid w:val="003C63E2"/>
    <w:rsid w:val="003D3EB1"/>
    <w:rsid w:val="003D6F63"/>
    <w:rsid w:val="00412F11"/>
    <w:rsid w:val="004177A5"/>
    <w:rsid w:val="00487752"/>
    <w:rsid w:val="004B4A60"/>
    <w:rsid w:val="00520623"/>
    <w:rsid w:val="00595DC0"/>
    <w:rsid w:val="005A787B"/>
    <w:rsid w:val="005D5DF9"/>
    <w:rsid w:val="00636FC6"/>
    <w:rsid w:val="00670BA9"/>
    <w:rsid w:val="00672B67"/>
    <w:rsid w:val="00692663"/>
    <w:rsid w:val="006937D4"/>
    <w:rsid w:val="006A0C3F"/>
    <w:rsid w:val="006A62F6"/>
    <w:rsid w:val="006C1339"/>
    <w:rsid w:val="00704EC2"/>
    <w:rsid w:val="007A40CD"/>
    <w:rsid w:val="007A71DF"/>
    <w:rsid w:val="007F5EF9"/>
    <w:rsid w:val="0080382A"/>
    <w:rsid w:val="0081121F"/>
    <w:rsid w:val="00867522"/>
    <w:rsid w:val="00903E95"/>
    <w:rsid w:val="00930CEB"/>
    <w:rsid w:val="00A3359A"/>
    <w:rsid w:val="00A405DE"/>
    <w:rsid w:val="00B35A08"/>
    <w:rsid w:val="00B37F0F"/>
    <w:rsid w:val="00B72799"/>
    <w:rsid w:val="00B83831"/>
    <w:rsid w:val="00BA4BBE"/>
    <w:rsid w:val="00BB4B85"/>
    <w:rsid w:val="00BE2EED"/>
    <w:rsid w:val="00BE5F0D"/>
    <w:rsid w:val="00BF5BC0"/>
    <w:rsid w:val="00C01130"/>
    <w:rsid w:val="00C56C5F"/>
    <w:rsid w:val="00CB2069"/>
    <w:rsid w:val="00CD6A77"/>
    <w:rsid w:val="00D84549"/>
    <w:rsid w:val="00DD0C34"/>
    <w:rsid w:val="00DF44FB"/>
    <w:rsid w:val="00E33D1D"/>
    <w:rsid w:val="00E50A95"/>
    <w:rsid w:val="00EC3510"/>
    <w:rsid w:val="00F41793"/>
    <w:rsid w:val="00F840F8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CA70"/>
  <w15:chartTrackingRefBased/>
  <w15:docId w15:val="{AFF9A971-109E-4B43-854A-24C24E73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831"/>
  </w:style>
  <w:style w:type="paragraph" w:styleId="Heading1">
    <w:name w:val="heading 1"/>
    <w:basedOn w:val="Normal"/>
    <w:next w:val="Normal"/>
    <w:link w:val="Heading1Char"/>
    <w:uiPriority w:val="9"/>
    <w:qFormat/>
    <w:rsid w:val="00670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B4A60"/>
  </w:style>
  <w:style w:type="paragraph" w:styleId="ListParagraph">
    <w:name w:val="List Paragraph"/>
    <w:basedOn w:val="Normal"/>
    <w:uiPriority w:val="34"/>
    <w:qFormat/>
    <w:rsid w:val="0063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71DF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B8383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B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70BA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0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linfo.aph.gov.au/parlInfo/download/committees/reportjnt/024567/toc_pdf/FinalReportoftheInquiryintotheWorkingHolidayMakerProgram.pdf;fileType=application%2Fpdf" TargetMode="External"/><Relationship Id="rId5" Type="http://schemas.openxmlformats.org/officeDocument/2006/relationships/hyperlink" Target="https://www.aph.gov.au/DocumentStore.ashx?id=1e5faa38-a7b6-4a6f-91e0-c0d2eadd597a&amp;subId=6903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Ball</dc:creator>
  <cp:keywords/>
  <dc:description/>
  <cp:lastModifiedBy>Josh Gani</cp:lastModifiedBy>
  <cp:revision>2</cp:revision>
  <dcterms:created xsi:type="dcterms:W3CDTF">2021-05-14T04:57:00Z</dcterms:created>
  <dcterms:modified xsi:type="dcterms:W3CDTF">2021-05-14T04:57:00Z</dcterms:modified>
</cp:coreProperties>
</file>